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85041"/>
          <w:sz w:val="64"/>
          <w:szCs w:val="64"/>
        </w:rPr>
        <w:t xml:space="preserve">Embedding &amp; 向量数据库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F5E5A"/>
          <w:sz w:val="36"/>
          <w:szCs w:val="36"/>
        </w:rPr>
        <w:t xml:space="preserve">前端工程师完全学习手册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F5E5A"/>
          <w:sz w:val="22"/>
          <w:szCs w:val="22"/>
        </w:rPr>
        <w:t xml:space="preserve">从零基础到 RAG 实战 · 全面覆盖原理 + 实现 + 工程化</w:t>
      </w:r>
    </w:p>
    <w:p>
      <w:pPr>
        <w:pBdr>
          <w:bottom w:val="single" w:color="D3D1C7" w:sz="2" w:space="1"/>
        </w:pBdr>
        <w:spacing w:after="320" w:before="320"/>
      </w:pPr>
      <w:r>
        <w:t xml:space="preserve"/>
      </w:r>
    </w:p>
    <w:p>
      <w:pPr>
        <w:pStyle w:val="Heading1"/>
        <w:pBdr>
          <w:bottom w:val="single" w:color="1D9E75" w:sz="6" w:space="4"/>
        </w:pBdr>
        <w:spacing w:after="160" w:before="480"/>
      </w:pPr>
      <w:r>
        <w:rPr>
          <w:rFonts w:ascii="Arial" w:cs="Arial" w:eastAsia="Arial" w:hAnsi="Arial"/>
          <w:b/>
          <w:bCs/>
          <w:color w:val="2C2C2A"/>
          <w:sz w:val="36"/>
          <w:szCs w:val="36"/>
        </w:rPr>
        <w:t xml:space="preserve">PART 1  |  Embedding：让文字变成数字</w:t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1.1  什么是 Embedding？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Embedding 是将文本（或图片、音频等）映射到一个高维数值向量的技术。简单说：把"语义"转成"坐标"。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1D9E75" w:sz="12"/>
              <w:left w:val="single" w:color="1D9E75" w:sz="12"/>
              <w:bottom w:val="single" w:color="1D9E75" w:sz="4"/>
              <w:right w:val="single" w:color="1D9E75" w:sz="4"/>
            </w:tcBorders>
            <w:shd w:fill="E1F5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1"/>
                <w:sz w:val="22"/>
                <w:szCs w:val="22"/>
              </w:rPr>
              <w:t xml:space="preserve">🔑 核心比喻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A"/>
                <w:sz w:val="21"/>
                <w:szCs w:val="21"/>
              </w:rPr>
              <w:t xml:space="preserve">就像 CSS 里的坐标系——每个元素有 x/y 位置，语义相近的词会聚集在坐标系的相近区域。'猫' 和 '狗' 的坐标很近，'猫' 和 '飞机' 的坐标很远。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一个 Embedding 向量长这样：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"苹果" 这个词被编码成一个 1536 维的浮点数组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embedding = [0.0231, -0.1847, 0.0053, 0.2914, ..., -0.0082]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length: 1536（OpenAI text-embedding-3-small）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或 3072（text-embedding-3-large）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1.2  为什么需要 Embedding？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计算机无法直接理解文字，只能处理数字。Embedding 把语义信息压缩进向量，使得：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相似语义 → 相近距离</w:t>
      </w:r>
      <w:r>
        <w:rPr>
          <w:rFonts w:ascii="Arial" w:cs="Arial" w:eastAsia="Arial" w:hAnsi="Arial"/>
          <w:color w:val="2C2C2A"/>
          <w:sz w:val="22"/>
          <w:szCs w:val="22"/>
        </w:rPr>
        <w:t xml:space="preserve">  '买苹果' 和 '购买水果' 的向量距离很近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不同语义 → 较远距离</w:t>
      </w:r>
      <w:r>
        <w:rPr>
          <w:rFonts w:ascii="Arial" w:cs="Arial" w:eastAsia="Arial" w:hAnsi="Arial"/>
          <w:color w:val="2C2C2A"/>
          <w:sz w:val="22"/>
          <w:szCs w:val="22"/>
        </w:rPr>
        <w:t xml:space="preserve">  '苹果手机' 和 '红富士苹果' 在维度上有区别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跨语言对齐</w:t>
      </w:r>
      <w:r>
        <w:rPr>
          <w:rFonts w:ascii="Arial" w:cs="Arial" w:eastAsia="Arial" w:hAnsi="Arial"/>
          <w:color w:val="2C2C2A"/>
          <w:sz w:val="22"/>
          <w:szCs w:val="22"/>
        </w:rPr>
        <w:t xml:space="preserve">  'apple' 和 '苹果' 在多语言模型中向量相近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数学运算成为可能</w:t>
      </w:r>
      <w:r>
        <w:rPr>
          <w:rFonts w:ascii="Arial" w:cs="Arial" w:eastAsia="Arial" w:hAnsi="Arial"/>
          <w:color w:val="2C2C2A"/>
          <w:sz w:val="22"/>
          <w:szCs w:val="22"/>
        </w:rPr>
        <w:t xml:space="preserve">  '国王' - '男人' + '女人' ≈ '女王'（经典词向量实验）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1.3  Embedding 的工作原理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神经网络编码器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现代 Embedding 模型（如 OpenAI、Anthropic、BGE 等）是用 Transformer 架构训练的编码器。训练方式：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正样本：语义相近的句子对，向量拉近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负样本：语义不相关的句子对，向量推远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用对比学习（Contrastive Learning）持续优化</w:t>
      </w:r>
    </w:p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维度与精度的权衡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维度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优点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缺点</w:t>
            </w:r>
          </w:p>
        </w:tc>
      </w:tr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低维（128D）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存储小、检索快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语义表达能力弱</w:t>
            </w:r>
          </w:p>
        </w:tc>
      </w:tr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中维（768D）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平衡，常见于 BERT 类模型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适中</w:t>
            </w:r>
          </w:p>
        </w:tc>
      </w:tr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高维（1536D+）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语义最精确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存储大、计算慢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1.4  主流 Embedding 模型对比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600"/>
        <w:gridCol w:w="3760"/>
      </w:tblGrid>
      <w:tr>
        <w:tc>
          <w:tcPr>
            <w:tcW w:type="dxa" w:w="22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text-embedding-3-small</w:t>
            </w:r>
          </w:p>
        </w:tc>
        <w:tc>
          <w:tcPr>
            <w:tcW w:type="dxa" w:w="1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1536D</w:t>
            </w:r>
          </w:p>
        </w:tc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✅ 良好</w:t>
            </w:r>
          </w:p>
        </w:tc>
        <w:tc>
          <w:tcPr>
            <w:tcW w:type="dxa" w:w="37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成本低、速度快，推荐入门</w:t>
            </w:r>
          </w:p>
        </w:tc>
      </w:tr>
      <w:tr>
        <w:tc>
          <w:tcPr>
            <w:tcW w:type="dxa" w:w="22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text-embedding-3-large</w:t>
            </w:r>
          </w:p>
        </w:tc>
        <w:tc>
          <w:tcPr>
            <w:tcW w:type="dxa" w:w="1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3072D</w:t>
            </w:r>
          </w:p>
        </w:tc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✅ 良好</w:t>
            </w:r>
          </w:p>
        </w:tc>
        <w:tc>
          <w:tcPr>
            <w:tcW w:type="dxa" w:w="37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精度要求高的生产环境</w:t>
            </w:r>
          </w:p>
        </w:tc>
      </w:tr>
      <w:tr>
        <w:tc>
          <w:tcPr>
            <w:tcW w:type="dxa" w:w="22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BGE-M3（开源）</w:t>
            </w:r>
          </w:p>
        </w:tc>
        <w:tc>
          <w:tcPr>
            <w:tcW w:type="dxa" w:w="1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1024D</w:t>
            </w:r>
          </w:p>
        </w:tc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✅ 极佳</w:t>
            </w:r>
          </w:p>
        </w:tc>
        <w:tc>
          <w:tcPr>
            <w:tcW w:type="dxa" w:w="37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中文为主的私有化部署</w:t>
            </w:r>
          </w:p>
        </w:tc>
      </w:tr>
      <w:tr>
        <w:tc>
          <w:tcPr>
            <w:tcW w:type="dxa" w:w="22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Jina Embeddings v3</w:t>
            </w:r>
          </w:p>
        </w:tc>
        <w:tc>
          <w:tcPr>
            <w:tcW w:type="dxa" w:w="1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1024D</w:t>
            </w:r>
          </w:p>
        </w:tc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✅ 良好</w:t>
            </w:r>
          </w:p>
        </w:tc>
        <w:tc>
          <w:tcPr>
            <w:tcW w:type="dxa" w:w="37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多语言、长文档支持</w:t>
            </w:r>
          </w:p>
        </w:tc>
      </w:tr>
      <w:tr>
        <w:tc>
          <w:tcPr>
            <w:tcW w:type="dxa" w:w="22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Cohere Embed v3</w:t>
            </w:r>
          </w:p>
        </w:tc>
        <w:tc>
          <w:tcPr>
            <w:tcW w:type="dxa" w:w="1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1024D</w:t>
            </w:r>
          </w:p>
        </w:tc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✅ 支持</w:t>
            </w:r>
          </w:p>
        </w:tc>
        <w:tc>
          <w:tcPr>
            <w:tcW w:type="dxa" w:w="37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20"/>
                <w:szCs w:val="20"/>
              </w:rPr>
              <w:t xml:space="preserve">支持 int8 量化，存储省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1.5  用 JavaScript 生成 Embedding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使用 OpenAI SDK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OpenAI from 'openai';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openai = new OpenAI({ apiKey: process.env.OPENAI_API_KEY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async function embed(text: string): Promise&lt;number[]&gt;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res = await openai.embeddings.create({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model: 'text-embedding-3-small',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input: text,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encoding_format: 'float', // 或 'base64' 节省传输体积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res.data[0].embedding; // number[]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vec = await embed('前端开发者如何学习 AI？');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console.log(vec.length); // 1536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批量 Embedding（节省 API 调用次数）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async function embedBatch(texts: string[]): Promise&lt;number[][]&gt;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res = await openai.embeddings.create({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model: 'text-embedding-3-small',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input: texts, // 传入数组，最多 2048 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注意：返回顺序不保证，要按 index 重新排序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res.data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.sort((a, b) =&gt; a.index - b.index)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.map(item =&gt; item.embedding);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1.6  相似度计算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余弦相似度（Cosine Similarity）——最常用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两个向量夹角的余弦值。值域 [-1, 1]，越接近 1 表示越相似。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function cosineSimilarity(a: number[], b: number[]): number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dot = a.reduce((sum, ai, i) =&gt; sum + ai * b[i], 0);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magA = Math.sqrt(a.reduce((s, ai) =&gt; s + ai * ai, 0));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magB = Math.sqrt(b.reduce((s, bi) =&gt; s + bi * bi, 0));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dot / (magA * magB);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sim = cosineSimilarity(vec1, vec2);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0.95 → 非常相似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0.4  → 略有相关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0.1  → 几乎无关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三种距离公式对比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方法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公式特点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适用场景</w:t>
            </w:r>
          </w:p>
        </w:tc>
      </w:tr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余弦相似度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关注方向，忽略长度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文本语义匹配（最常用）</w:t>
            </w:r>
          </w:p>
        </w:tc>
      </w:tr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欧氏距离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关注绝对距离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已归一化的向量</w:t>
            </w:r>
          </w:p>
        </w:tc>
      </w:tr>
      <w:tr>
        <w:tc>
          <w:tcPr>
            <w:tcW w:type="dxa" w:w="2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点积（Dot Product）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方向 × 长度</w:t>
            </w:r>
          </w:p>
        </w:tc>
        <w:tc>
          <w:tcPr>
            <w:tcW w:type="dxa" w:w="338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OpenAI 推荐，已归一化等价余弦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534AB7" w:sz="12"/>
              <w:left w:val="single" w:color="534AB7" w:sz="12"/>
              <w:bottom w:val="single" w:color="534AB7" w:sz="4"/>
              <w:right w:val="single" w:color="534AB7" w:sz="4"/>
            </w:tcBorders>
            <w:shd w:fill="EEED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22"/>
                <w:szCs w:val="22"/>
              </w:rPr>
              <w:t xml:space="preserve">💡 前端提示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A"/>
                <w:sz w:val="21"/>
                <w:szCs w:val="21"/>
              </w:rPr>
              <w:t xml:space="preserve">OpenAI 的 text-embedding-3 系列返回的向量已经归一化（长度为 1），因此点积等价于余弦相似度，可以直接用点积提升计算性能。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1.7  文档分块策略（Chunking）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Embedding 模型有 Token 上限（通常 8192 tokens），长文档需要切分。分块策略直接影响 RAG 质量。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固定大小分块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function chunkBySize(text: string, size = 512, overlap = 64): string[]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words = text.split(' 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chunks: string[] = [];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for (let i = 0; i &lt; words.length; i += size - overlap)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chunks.push(words.slice(i, i + size).join(' '));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chunks;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overlap：重叠区域，防止语义被截断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语义分块（推荐）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按段落/标题切分，保留语义完整性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function chunkBySemantic(markdown: string): string[]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markdown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.split(/(?=^#{1,3} )/m) // 按 Markdown 标题切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.filter(s =&gt; s.trim().length &gt; 50); // 过滤过短片段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分块策略选择指南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场景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1D9E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推荐策略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纯文本、小说、文章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固定大小 512 tokens + 64 overlap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技术文档、Markdown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按标题层级切分（语义分块）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代码文件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按函数/类切分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PDF 多页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按页 + 页内段落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问答型知识库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每个 QA 对独立存储</w:t>
            </w:r>
          </w:p>
        </w:tc>
      </w:tr>
    </w:tbl>
    <w:p>
      <w:pPr>
        <w:spacing w:after="20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D9E75" w:sz="6" w:space="4"/>
        </w:pBdr>
        <w:spacing w:after="160" w:before="480"/>
      </w:pPr>
      <w:r>
        <w:rPr>
          <w:rFonts w:ascii="Arial" w:cs="Arial" w:eastAsia="Arial" w:hAnsi="Arial"/>
          <w:b/>
          <w:bCs/>
          <w:color w:val="2C2C2A"/>
          <w:sz w:val="36"/>
          <w:szCs w:val="36"/>
        </w:rPr>
        <w:t xml:space="preserve">PART 2  |  向量数据库：存储与检索向量</w:t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2.1  为什么需要向量数据库？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假设你有 100 万条文档的 Embedding，每条是 1536 维的 float32 数组。问题是：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普通数据库</w:t>
      </w:r>
      <w:r>
        <w:rPr>
          <w:rFonts w:ascii="Arial" w:cs="Arial" w:eastAsia="Arial" w:hAnsi="Arial"/>
          <w:color w:val="2C2C2A"/>
          <w:sz w:val="22"/>
          <w:szCs w:val="22"/>
        </w:rPr>
        <w:t xml:space="preserve"> 不支持「找最相似的向量」这种查询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暴力遍历</w:t>
      </w:r>
      <w:r>
        <w:rPr>
          <w:rFonts w:ascii="Arial" w:cs="Arial" w:eastAsia="Arial" w:hAnsi="Arial"/>
          <w:color w:val="2C2C2A"/>
          <w:sz w:val="22"/>
          <w:szCs w:val="22"/>
        </w:rPr>
        <w:t xml:space="preserve"> 100 万 × 1536 次乘法，每次查询需要数秒，不可接受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向量数据库</w:t>
      </w:r>
      <w:r>
        <w:rPr>
          <w:rFonts w:ascii="Arial" w:cs="Arial" w:eastAsia="Arial" w:hAnsi="Arial"/>
          <w:color w:val="2C2C2A"/>
          <w:sz w:val="22"/>
          <w:szCs w:val="22"/>
        </w:rPr>
        <w:t xml:space="preserve"> 专为高维向量设计，毫秒级返回 Top-K 最相似结果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1D9E75" w:sz="12"/>
              <w:left w:val="single" w:color="1D9E75" w:sz="12"/>
              <w:bottom w:val="single" w:color="1D9E75" w:sz="4"/>
              <w:right w:val="single" w:color="1D9E75" w:sz="4"/>
            </w:tcBorders>
            <w:shd w:fill="E1F5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1"/>
                <w:sz w:val="22"/>
                <w:szCs w:val="22"/>
              </w:rPr>
              <w:t xml:space="preserve">🔑 核心能力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A"/>
                <w:sz w:val="21"/>
                <w:szCs w:val="21"/>
              </w:rPr>
              <w:t xml:space="preserve">向量数据库的本质：近似最近邻搜索（ANN）。用索引结构（HNSW、IVF 等）换取少量精度损失，换来 100x～1000x 的查询速度提升。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2.2  核心索引算法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HNSW（Hierarchical Navigable Small World）——最主流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分层图结构，越高层越稀疏。查询时从高层快速缩小范围，再在低层精确定位。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优点：查询速度极快，精度高（Recall &gt; 95%）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缺点：内存占用大，构建索引慢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使用场景：Pinecone、Weaviate、Qdrant 默认索引</w:t>
      </w:r>
    </w:p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IVF（Inverted File Index）——适合超大规模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将向量空间分成多个聚类（Voronoi 格），查询时只搜索最近的几个聚类。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优点：可配合 PQ 压缩，支持十亿级向量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缺点：需要预训练，精度略低于 HNSW</w:t>
      </w:r>
    </w:p>
    <w:p>
      <w:pPr>
        <w:pStyle w:val="ListParagraph"/>
        <w:numPr>
          <w:ilvl w:val="0"/>
          <w:numId w:val="2"/>
        </w:numPr>
        <w:spacing w:after="40" w:before="40"/>
        <w:ind w:left="720" w:hanging="3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使用场景：Faiss（Facebook），Milvus</w:t>
      </w:r>
    </w:p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Flat（暴力精确搜索）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适合小数据集（&lt; 10 万条）的精确搜索，无精度损失。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2.3  主流向量数据库全面对比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400"/>
        <w:gridCol w:w="1400"/>
        <w:gridCol w:w="1400"/>
        <w:gridCol w:w="1400"/>
        <w:gridCol w:w="2160"/>
      </w:tblGrid>
      <w:tr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产品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部署方式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开源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JS SDK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免费层</w:t>
            </w:r>
          </w:p>
        </w:tc>
        <w:tc>
          <w:tcPr>
            <w:tcW w:type="dxa" w:w="21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推荐理由</w:t>
            </w:r>
          </w:p>
        </w:tc>
      </w:tr>
      <w:tr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Pinecone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云托管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❌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官方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有</w:t>
            </w:r>
          </w:p>
        </w:tc>
        <w:tc>
          <w:tcPr>
            <w:tcW w:type="dxa" w:w="21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最易上手，适合快速原型</w:t>
            </w:r>
          </w:p>
        </w:tc>
      </w:tr>
      <w:tr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Qdrant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云/自托管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官方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有</w:t>
            </w:r>
          </w:p>
        </w:tc>
        <w:tc>
          <w:tcPr>
            <w:tcW w:type="dxa" w:w="21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性能最优，Rust 实现</w:t>
            </w:r>
          </w:p>
        </w:tc>
      </w:tr>
      <w:tr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Weaviate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云/自托管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官方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有</w:t>
            </w:r>
          </w:p>
        </w:tc>
        <w:tc>
          <w:tcPr>
            <w:tcW w:type="dxa" w:w="21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支持混合搜索 + GraphQL</w:t>
            </w:r>
          </w:p>
        </w:tc>
      </w:tr>
      <w:tr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Chroma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本地/云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官方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全免</w:t>
            </w:r>
          </w:p>
        </w:tc>
        <w:tc>
          <w:tcPr>
            <w:tcW w:type="dxa" w:w="21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开发调试首选，零配置</w:t>
            </w:r>
          </w:p>
        </w:tc>
      </w:tr>
      <w:tr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Milvus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自托管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⚠️ 社区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全免</w:t>
            </w:r>
          </w:p>
        </w:tc>
        <w:tc>
          <w:tcPr>
            <w:tcW w:type="dxa" w:w="21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十亿级超大规模首选</w:t>
            </w:r>
          </w:p>
        </w:tc>
      </w:tr>
      <w:tr>
        <w:tc>
          <w:tcPr>
            <w:tcW w:type="dxa" w:w="16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pgvector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PostgreSQL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pg驱动</w:t>
            </w:r>
          </w:p>
        </w:tc>
        <w:tc>
          <w:tcPr>
            <w:tcW w:type="dxa" w:w="14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✅ 全免</w:t>
            </w:r>
          </w:p>
        </w:tc>
        <w:tc>
          <w:tcPr>
            <w:tcW w:type="dxa" w:w="21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已有 PG 直接扩展即可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2.4  Chroma：本地开发首选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安装与启动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# 本地运行 Chroma 服务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pip install chromadb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chroma run --path ./chroma_data --port 8000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# Node.js SDK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npm install chromadb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完整 CRUD 操作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{ ChromaClient } from 'chromadb';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client = new ChromaClient({ path: 'http://localhost:8000'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1. 创建 Collection（相当于表）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col = await client.getOrCreateCollection({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name: 'my_docs',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metadata: { 'hnsw:space': 'cosine' }, // 距离函数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2. 插入向量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await col.add({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ids: ['doc1', 'doc2', 'doc3'],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embeddings: [vec1, vec2, vec3],        // number[][]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documents: ['原始文本1', '原始文本2', '原始文本3'],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metadatas: [                             // 可选元数据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{ source: 'doc.pdf', page: 1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{ source: 'doc.pdf', page: 2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{ source: 'readme.md', page: 0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3. 相似搜索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results = await col.query({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queryEmbeddings: [queryVec],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nResults: 5,                             // 返回 Top-5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where: { source: 'doc.pdf' },            // 元数据过滤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results.documents[0] → 最相似的 5 段文本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results.distances[0] → 对应的相似度得分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4. 删除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await col.delete({ ids: ['doc1'] });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2.5  Pinecone：生产环境推荐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初始化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{ Pinecone } from '@pinecone-database/pinecone';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pc = new Pinecone({ apiKey: process.env.PINECONE_API_KEY!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创建 Index（只需一次）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await pc.createIndex({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name: 'my-index',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dimension: 1536,       // 必须与 Embedding 维度一致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metric: 'cosine',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spec: { serverless: { cloud: 'aws', region: 'us-east-1' }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});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Upsert 与查询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index = pc.index('my-index');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Upsert（插入或更新）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await index.upsert([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{ id: 'v1', values: vec1, metadata: { text: '原文', source: 'a.pdf' }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{ id: 'v2', values: vec2, metadata: { text: '原文', source: 'b.pdf' }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]);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查询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res = await index.query({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vector: queryVec,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topK: 5,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includeMetadata: 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filter: { source: { '$eq': 'a.pdf' } }, // 元数据过滤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res.matches.forEach(m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console.log(m.score, m.metadata?.text);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});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2.6  pgvector：最省事的方案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如果你已经在用 PostgreSQL，直接装 pgvector 插件即可，无需引入新系统。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-- 安装扩展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CREATE EXTENSION IF NOT EXISTS vector;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-- 建表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CREATE TABLE documents 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id        SERIAL PRIMARY KEY,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content   TEXT,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source    TEXT,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embedding vector(1536)   -- 指定维度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-- 创建 HNSW 索引（PostgreSQL 16+）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CREATE INDEX ON documents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USING hnsw (embedding vector_cosine_ops);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-- 插入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INSERT INTO documents (content, source, embedding)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VALUES ('文档内容', 'a.pdf', '[0.02, -0.18, ...]'::vector);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-- 相似度搜索（&lt;=&gt; 是余弦距离）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SELECT content, source,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   1 - (embedding &lt;=&gt; '[0.01, -0.19, ...]'::vector) AS similarity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FROM   documents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ORDER  BY embedding &lt;=&gt; '[0.01, -0.19, ...]'::vector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LIMIT  5;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在 Next.js 中配合 Drizzle ORM 使用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需要 drizzle-orm 和 pg-vector 扩展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{ pgTable, text, integer } from 'drizzle-orm/pg-core';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{ vector } from 'drizzle-orm/pg-core'; // drizzle &gt;= 0.30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export const documents = pgTable('documents',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id:        integer('id').primaryKey().generatedAlwaysAsIdentity(),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content:   text('content').notNull(),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source:    text('source'),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embedding: vector('embedding', { dimensions: 1536 }),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});</w:t>
            </w:r>
          </w:p>
        </w:tc>
      </w:tr>
    </w:tbl>
    <w:p>
      <w:pPr>
        <w:spacing w:after="20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D9E75" w:sz="6" w:space="4"/>
        </w:pBdr>
        <w:spacing w:after="160" w:before="480"/>
      </w:pPr>
      <w:r>
        <w:rPr>
          <w:rFonts w:ascii="Arial" w:cs="Arial" w:eastAsia="Arial" w:hAnsi="Arial"/>
          <w:b/>
          <w:bCs/>
          <w:color w:val="2C2C2A"/>
          <w:sz w:val="36"/>
          <w:szCs w:val="36"/>
        </w:rPr>
        <w:t xml:space="preserve">PART 3  |  RAG 管道：完整实战</w:t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3.1  RAG 全流程架构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RAG 分为两个阶段：离线索引（Indexing）和在线检索生成（Retrieval + Generation）。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1D9E75" w:sz="12"/>
              <w:left w:val="single" w:color="1D9E75" w:sz="12"/>
              <w:bottom w:val="single" w:color="1D9E75" w:sz="4"/>
              <w:right w:val="single" w:color="1D9E75" w:sz="4"/>
            </w:tcBorders>
            <w:shd w:fill="E1F5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1"/>
                <w:sz w:val="22"/>
                <w:szCs w:val="22"/>
              </w:rPr>
              <w:t xml:space="preserve">离线阶段（构建知识库）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A"/>
                <w:sz w:val="21"/>
                <w:szCs w:val="21"/>
              </w:rPr>
              <w:t xml:space="preserve">原始文档 → 文档分块 → 生成 Embedding → 存入向量数据库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534AB7" w:sz="12"/>
              <w:left w:val="single" w:color="534AB7" w:sz="12"/>
              <w:bottom w:val="single" w:color="534AB7" w:sz="4"/>
              <w:right w:val="single" w:color="534AB7" w:sz="4"/>
            </w:tcBorders>
            <w:shd w:fill="EEEDF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22"/>
                <w:szCs w:val="22"/>
              </w:rPr>
              <w:t xml:space="preserve">在线阶段（回答问题）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A"/>
                <w:sz w:val="21"/>
                <w:szCs w:val="21"/>
              </w:rPr>
              <w:t xml:space="preserve">用户问题 → 生成查询 Embedding → 向量检索 Top-K → 拼接 Prompt → LLM 生成答案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3.2  完整 TypeScript 实现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Step 1：文档索引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OpenAI from 'openai';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{ ChromaClient } from 'chromadb';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fs from 'fs/promises';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openai = new OpenAI();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chroma = new ChromaClient({ path: 'http://localhost:8000'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async function indexDocument(filePath: string)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1. 读取文件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text = await fs.readFile(filePath, 'utf-8');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2. 分块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chunks = chunkBySemantic(text);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3. 批量生成 Embedding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res = await openai.embeddings.create({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model: 'text-embedding-3-small',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input: chunks,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embeddings = res.data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.sort((a, b) =&gt; a.index - b.index)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.map(d =&gt; d.embedding);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4. 存入向量数据库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col = await chroma.getOrCreateCollection({ name: 'knowledge'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await col.add({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ids: chunks.map((_, i) =&gt; `${filePath}_${i}`),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embeddings,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documents: chunks,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metadatas: chunks.map(() =&gt; ({ source: filePath })),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console.log(`✅ Indexed ${chunks.length} chunks from ${filePath}`);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Step 2：检索 + 生成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async function ragQuery(question: string): Promise&lt;string&gt;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col = await chroma.getOrCreateCollection({ name: 'knowledge'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1. 将问题转成 Embedding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qRes = await openai.embeddings.create({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model: 'text-embedding-3-small',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input: question,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qVec = qRes.data[0].embedding;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2. 检索最相关的 5 段内容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results = await col.query({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queryEmbeddings: [qVec],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nResults: 5,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context = results.documents[0]?.join('\n\n') ?? '';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3. 构建 Prompt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prompt = `你是一个知识库助手，只根据以下内容回答问题。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如果内容中找不到答案，请说"我不知道"。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参考内容：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---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${context}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---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问题：${question}`;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// 4. 调用 LLM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completion = await openai.chat.completions.create({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model: 'gpt-4o-mini',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messages: [{ role: 'user', content: prompt 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stream: 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let answer = '';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for await (const chunk of completion)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answer += chunk.choices[0]?.delta?.content ?? '';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answer;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3.3  混合搜索（Hybrid Search）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纯向量搜索对关键词匹配（如产品型号、人名）效果差。混合搜索结合向量搜索和关键词搜索（BM25），取长补短。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Weaviate 混合搜索示例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result = await client.graphql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.get()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.withClassName('Document')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.withHybrid({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query: '前端工程师学 AI',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alpha: 0.75,  // 0=纯BM25关键词, 1=纯向量, 0.75=偏向量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.withLimit(5)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.withFields('content source _additional { score 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.do();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BA7517" w:sz="12"/>
              <w:left w:val="single" w:color="BA7517" w:sz="12"/>
              <w:bottom w:val="single" w:color="BA7517" w:sz="4"/>
              <w:right w:val="single" w:color="BA7517" w:sz="4"/>
            </w:tcBorders>
            <w:shd w:fill="FAEED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BA7517"/>
                <w:sz w:val="22"/>
                <w:szCs w:val="22"/>
              </w:rPr>
              <w:t xml:space="preserve">💡 何时用混合搜索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A"/>
                <w:sz w:val="21"/>
                <w:szCs w:val="21"/>
              </w:rPr>
              <w:t xml:space="preserve">查询中有专有名词、型号、日期时效果明显提升。一般规律：alpha=0.75 是个好的起点，再根据实际评估调整。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3.4  重排序（Reranking）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向量检索召回 Top-20，再用重排序模型精选 Top-5，可以显著提升最终质量。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使用 Cohere Rerank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{ CohereClient } from 'cohere-ai';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cohere = new CohereClient({ token: process.env.COHERE_API_KEY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async function rerank(query: string, docs: string[]): Promise&lt;string[]&gt;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res = await cohere.rerank({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query,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documents: docs,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topN: 5,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model: 'rerank-multilingual-v3.0',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res.results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  .map(r =&gt; docs[r.index]);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3.5  性能优化技巧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缓存热点查询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cache = new Map&lt;string, string[]&gt;();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async function cachedSearch(query: string)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if (cache.has(query)) return cache.get(query)!;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results = await vectorSearch(query);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cache.set(query, results);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results;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Embedding 缓存（避免重复 API 调用）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// 用文本 hash 作为缓存 key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import { createHash } from 'crypto';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const embeddingCache = new Map&lt;string, number[]&gt;();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async function cachedEmbed(text: string): Promise&lt;number[]&gt;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key = createHash('md5').update(text).digest('hex');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if (embeddingCache.has(key)) return embeddingCache.get(key)!;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const vec = await embed(text);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embeddingCache.set(key, vec);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  return vec;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A22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9FE1CB"/>
                <w:sz w:val="18"/>
                <w:szCs w:val="18"/>
              </w:rPr>
              <w:t xml:space="preserve">}</w:t>
            </w:r>
          </w:p>
        </w:tc>
      </w:tr>
    </w:tbl>
    <w:p>
      <w:pPr>
        <w:spacing w:after="20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1D9E75" w:sz="6" w:space="4"/>
        </w:pBdr>
        <w:spacing w:after="160" w:before="480"/>
      </w:pPr>
      <w:r>
        <w:rPr>
          <w:rFonts w:ascii="Arial" w:cs="Arial" w:eastAsia="Arial" w:hAnsi="Arial"/>
          <w:b/>
          <w:bCs/>
          <w:color w:val="2C2C2A"/>
          <w:sz w:val="36"/>
          <w:szCs w:val="36"/>
        </w:rPr>
        <w:t xml:space="preserve">PART 4  |  快速参考 Cheatsheet</w:t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4.1  技术选型决策树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你的情况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1D9E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推荐方案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本地开发、快速验证原型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Chroma（本地零配置）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已有 PostgreSQL 数据库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pgvector（最省事）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生产环境、不想自己运维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Pinecone（云服务）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需要混合搜索 + 中文优化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Weaviate 或 Qdrant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超大规模（亿级向量）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Milvus（自托管）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中文 Embedding 效果最佳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BGE-M3（私有部署）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4.2  常见问题 FAQ</w:t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Q：Embedding 的 Token 费用贵吗？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OpenAI text-embedding-3-small 大约 $0.02 / 百万 tokens，1 万篇文章约 $0.2，基本可以忽略。</w:t>
      </w:r>
    </w:p>
    <w:p>
      <w:pPr>
        <w:spacing w:after="6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Q：向量搜索 Top-K 的 K 取多少？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一般初始取 5-10，如果后接重排序可以取 20-50。K 越大，召回全面但 Prompt 越长、成本越高。</w:t>
      </w:r>
    </w:p>
    <w:p>
      <w:pPr>
        <w:spacing w:after="6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Q：相似度得分多少算相关？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这取决于模型和场景，没有通用阈值。建议用你的业务数据手动标注 50 条，统计合适的阈值。余弦相似度 &gt; 0.7 通常是个不错的起点。</w:t>
      </w:r>
    </w:p>
    <w:p>
      <w:pPr>
        <w:spacing w:after="60" w:before="0"/>
      </w:pPr>
      <w:r>
        <w:t xml:space="preserve"/>
      </w:r>
    </w:p>
    <w:p>
      <w:pPr>
        <w:pStyle w:val="Heading3"/>
        <w:spacing w:after="80" w:before="240"/>
      </w:pPr>
      <w:r>
        <w:rPr>
          <w:rFonts w:ascii="Arial" w:cs="Arial" w:eastAsia="Arial" w:hAnsi="Arial"/>
          <w:b/>
          <w:bCs/>
          <w:color w:val="534AB7"/>
          <w:sz w:val="24"/>
          <w:szCs w:val="24"/>
        </w:rPr>
        <w:t xml:space="preserve">Q：文档更新后需要重新索引吗？</w:t>
      </w:r>
    </w:p>
    <w:p>
      <w:pPr>
        <w:spacing w:after="160" w:before="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是的，向量是静态的。文档更新后需要删除旧向量、重新 Embed 并插入。建议给每条向量存 updated_at 元数据方便增量更新。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085041"/>
          <w:sz w:val="28"/>
          <w:szCs w:val="28"/>
        </w:rPr>
        <w:t xml:space="preserve">4.3  推荐学习资源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08504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资源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1D9E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链接/说明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Pinecone 学习中心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learn.pinecone.io（最系统的向量数据库教程）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LangChain.js 文档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js.langchain.com/docs（JS 生态 RAG 框架）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Vercel AI SDK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sdk.vercel.ai（最适合 Next.js 的 AI 集成）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Chroma 文档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docs.trychroma.com（本地开发首选）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OpenAI Cookbook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cookbook.openai.com（大量 RAG 实战示例）</w:t>
            </w:r>
          </w:p>
        </w:tc>
      </w:tr>
      <w:tr>
        <w:tc>
          <w:tcPr>
            <w:tcW w:type="dxa" w:w="280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1EF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BGE-M3 模型</w:t>
            </w:r>
          </w:p>
        </w:tc>
        <w:tc>
          <w:tcPr>
            <w:tcW w:type="dxa" w:w="6560"/>
            <w:tcBorders>
              <w:top w:val="single" w:color="D3D1C7" w:sz="4"/>
              <w:left w:val="single" w:color="D3D1C7" w:sz="4"/>
              <w:bottom w:val="single" w:color="D3D1C7" w:sz="4"/>
              <w:right w:val="single" w:color="D3D1C7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A"/>
                <w:sz w:val="20"/>
                <w:szCs w:val="20"/>
              </w:rPr>
              <w:t xml:space="preserve">huggingface.co/BAAI/bge-m3（最佳中文 Embedding）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D3D1C7" w:sz="2" w:space="1"/>
        </w:pBdr>
        <w:spacing w:after="320" w:before="320"/>
      </w:pPr>
      <w:r>
        <w:t xml:space="preserve"/>
      </w:r>
    </w:p>
    <w:p>
      <w:pPr>
        <w:spacing w:after="0" w:before="80"/>
        <w:jc w:val="center"/>
      </w:pPr>
      <w:r>
        <w:rPr>
          <w:rFonts w:ascii="Arial" w:cs="Arial" w:eastAsia="Arial" w:hAnsi="Arial"/>
          <w:color w:val="5F5E5A"/>
          <w:sz w:val="18"/>
          <w:szCs w:val="18"/>
        </w:rPr>
        <w:t xml:space="preserve">本文档由 Claude 为前端工程师专属生成 · 覆盖 Embedding 原理 + 向量数据库 + RAG 完整实战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F5E5A"/>
        <w:sz w:val="18"/>
        <w:szCs w:val="18"/>
      </w:rPr>
      <w:t xml:space="preserve">第 </w:t>
    </w:r>
    <w:r>
      <w:rPr>
        <w:rFonts w:ascii="Arial" w:cs="Arial" w:eastAsia="Arial" w:hAnsi="Arial"/>
        <w:color w:val="5F5E5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F5E5A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8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6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4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2026-06-16T01:43:08.710Z</dcterms:created>
  <dcterms:modified xsi:type="dcterms:W3CDTF">2026-06-16T01:43:08.710Z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